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6" w:rsidRPr="004D739D" w:rsidRDefault="00431B47" w:rsidP="00763DC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br/>
      </w:r>
      <w:r w:rsidR="00763DC4" w:rsidRPr="004D739D">
        <w:rPr>
          <w:rFonts w:ascii="Arial" w:hAnsi="Arial" w:cs="Arial"/>
          <w:b/>
          <w:sz w:val="28"/>
          <w:u w:val="single"/>
        </w:rPr>
        <w:t>Key Stage Provision Map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14E17" w:rsidRPr="004D739D" w:rsidTr="004D739D">
        <w:trPr>
          <w:jc w:val="center"/>
        </w:trPr>
        <w:tc>
          <w:tcPr>
            <w:tcW w:w="3077" w:type="dxa"/>
            <w:vAlign w:val="center"/>
          </w:tcPr>
          <w:p w:rsidR="00C14E17" w:rsidRPr="004D739D" w:rsidRDefault="00C14E17" w:rsidP="00431B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Transition from KS2 to KS3</w:t>
            </w:r>
          </w:p>
        </w:tc>
        <w:tc>
          <w:tcPr>
            <w:tcW w:w="12311" w:type="dxa"/>
            <w:gridSpan w:val="4"/>
            <w:vAlign w:val="center"/>
          </w:tcPr>
          <w:p w:rsidR="007763AA" w:rsidRPr="004D739D" w:rsidRDefault="007763AA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 xml:space="preserve">SENCO visits pupils with identified SEND at their primary setting prior to them starting at Larkmead. During primary visits, SENCO will discuss </w:t>
            </w:r>
            <w:r w:rsidR="00DB5D8D" w:rsidRPr="004D739D">
              <w:rPr>
                <w:rFonts w:ascii="Arial" w:hAnsi="Arial" w:cs="Arial"/>
              </w:rPr>
              <w:t xml:space="preserve">needs, </w:t>
            </w:r>
            <w:r w:rsidRPr="004D739D">
              <w:rPr>
                <w:rFonts w:ascii="Arial" w:hAnsi="Arial" w:cs="Arial"/>
              </w:rPr>
              <w:t>attainment, welfare, behaviour</w:t>
            </w:r>
            <w:r w:rsidR="00BA4D77" w:rsidRPr="004D739D">
              <w:rPr>
                <w:rFonts w:ascii="Arial" w:hAnsi="Arial" w:cs="Arial"/>
              </w:rPr>
              <w:t xml:space="preserve"> and any other necessary sharing of information</w:t>
            </w:r>
            <w:r w:rsidRPr="004D739D">
              <w:rPr>
                <w:rFonts w:ascii="Arial" w:hAnsi="Arial" w:cs="Arial"/>
              </w:rPr>
              <w:t>.</w:t>
            </w:r>
          </w:p>
          <w:p w:rsidR="00C14E17" w:rsidRPr="004D739D" w:rsidRDefault="00C14E17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SENCO attends Year 6 transition Annual Reviews for all rising Year 7 pupils with an Education Health and Care Plan (EHCP).</w:t>
            </w:r>
            <w:bookmarkStart w:id="0" w:name="_GoBack"/>
            <w:bookmarkEnd w:id="0"/>
          </w:p>
          <w:p w:rsidR="00C14E17" w:rsidRPr="004D739D" w:rsidRDefault="00C14E17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SENCO will host visits to Larkmead School by prospective parents and students</w:t>
            </w:r>
            <w:r w:rsidR="007763AA" w:rsidRPr="004D739D">
              <w:rPr>
                <w:rFonts w:ascii="Arial" w:hAnsi="Arial" w:cs="Arial"/>
              </w:rPr>
              <w:t xml:space="preserve"> throughout the year</w:t>
            </w:r>
            <w:r w:rsidRPr="004D739D">
              <w:rPr>
                <w:rFonts w:ascii="Arial" w:hAnsi="Arial" w:cs="Arial"/>
              </w:rPr>
              <w:t>.</w:t>
            </w:r>
          </w:p>
          <w:p w:rsidR="00C14E17" w:rsidRPr="004D739D" w:rsidRDefault="00C14E17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Larkmead host ‘Welcome Evening’, ad</w:t>
            </w:r>
            <w:r w:rsidR="00DB5D8D" w:rsidRPr="004D739D">
              <w:rPr>
                <w:rFonts w:ascii="Arial" w:hAnsi="Arial" w:cs="Arial"/>
              </w:rPr>
              <w:t>ditional school visit morning f</w:t>
            </w:r>
            <w:r w:rsidRPr="004D739D">
              <w:rPr>
                <w:rFonts w:ascii="Arial" w:hAnsi="Arial" w:cs="Arial"/>
              </w:rPr>
              <w:t>o</w:t>
            </w:r>
            <w:r w:rsidR="00DB5D8D" w:rsidRPr="004D739D">
              <w:rPr>
                <w:rFonts w:ascii="Arial" w:hAnsi="Arial" w:cs="Arial"/>
              </w:rPr>
              <w:t>r</w:t>
            </w:r>
            <w:r w:rsidRPr="004D739D">
              <w:rPr>
                <w:rFonts w:ascii="Arial" w:hAnsi="Arial" w:cs="Arial"/>
              </w:rPr>
              <w:t xml:space="preserve"> vulnerable and disadvantaged learners, ‘Meet the Tutor’ evening and two full transition days.</w:t>
            </w:r>
            <w:r w:rsidR="00DB5D8D" w:rsidRPr="004D739D">
              <w:rPr>
                <w:rFonts w:ascii="Arial" w:hAnsi="Arial" w:cs="Arial"/>
              </w:rPr>
              <w:t xml:space="preserve"> Additional transition events such as extra tours with Teaching Assistants, break time in Learning Support Department can be organised based on need.</w:t>
            </w:r>
          </w:p>
          <w:p w:rsidR="007763AA" w:rsidRPr="004D739D" w:rsidRDefault="007763AA" w:rsidP="004D739D">
            <w:pPr>
              <w:rPr>
                <w:rFonts w:ascii="Arial" w:hAnsi="Arial" w:cs="Arial"/>
                <w:sz w:val="24"/>
              </w:rPr>
            </w:pPr>
            <w:r w:rsidRPr="004D739D">
              <w:rPr>
                <w:rFonts w:ascii="Arial" w:hAnsi="Arial" w:cs="Arial"/>
              </w:rPr>
              <w:t xml:space="preserve">Abingdon Partnership schools organise file and data exchange in summer term. Larkmead SEND administrator coordinates </w:t>
            </w:r>
            <w:r w:rsidR="00DB5D8D" w:rsidRPr="004D739D">
              <w:rPr>
                <w:rFonts w:ascii="Arial" w:hAnsi="Arial" w:cs="Arial"/>
              </w:rPr>
              <w:t>file collection and drop off for</w:t>
            </w:r>
            <w:r w:rsidRPr="004D739D">
              <w:rPr>
                <w:rFonts w:ascii="Arial" w:hAnsi="Arial" w:cs="Arial"/>
              </w:rPr>
              <w:t xml:space="preserve"> schools outside of Partnership. </w:t>
            </w:r>
          </w:p>
        </w:tc>
      </w:tr>
      <w:tr w:rsidR="00C14E17" w:rsidRPr="004D739D" w:rsidTr="004D739D">
        <w:trPr>
          <w:jc w:val="center"/>
        </w:trPr>
        <w:tc>
          <w:tcPr>
            <w:tcW w:w="3077" w:type="dxa"/>
            <w:vAlign w:val="center"/>
          </w:tcPr>
          <w:p w:rsidR="00C14E17" w:rsidRPr="004D739D" w:rsidRDefault="00C14E17" w:rsidP="00431B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Transition from KS3 to KS4</w:t>
            </w:r>
          </w:p>
        </w:tc>
        <w:tc>
          <w:tcPr>
            <w:tcW w:w="12311" w:type="dxa"/>
            <w:gridSpan w:val="4"/>
            <w:vAlign w:val="center"/>
          </w:tcPr>
          <w:p w:rsidR="00C14E17" w:rsidRPr="004D739D" w:rsidRDefault="00794875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Year 8 Options Evening for all students and parents/carers. Support with option choices and careers from Careers Lead – SEND students are prioritised.</w:t>
            </w:r>
          </w:p>
          <w:p w:rsidR="00794875" w:rsidRPr="004D739D" w:rsidRDefault="00794875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SENCO discussion with Senior Leadership Team to discuss Year 8 option choices and candidates for Supported Learning.</w:t>
            </w:r>
          </w:p>
          <w:p w:rsidR="00BA4D77" w:rsidRPr="004D739D" w:rsidRDefault="00BA4D77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Supported Learning is an alternative option choice for GCSE whereby students have bespoke, small group, literacy and numeracy support and the opportunity to work towards vocational qualifications.</w:t>
            </w:r>
          </w:p>
          <w:p w:rsidR="00BA4D77" w:rsidRPr="004D739D" w:rsidRDefault="00794875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 xml:space="preserve">Support with </w:t>
            </w:r>
            <w:r w:rsidR="00BA4D77" w:rsidRPr="004D739D">
              <w:rPr>
                <w:rFonts w:ascii="Arial" w:hAnsi="Arial" w:cs="Arial"/>
              </w:rPr>
              <w:t xml:space="preserve">preparation for </w:t>
            </w:r>
            <w:r w:rsidRPr="004D739D">
              <w:rPr>
                <w:rFonts w:ascii="Arial" w:hAnsi="Arial" w:cs="Arial"/>
              </w:rPr>
              <w:t>work experience placement in Year 10</w:t>
            </w:r>
            <w:r w:rsidR="008418A8" w:rsidRPr="004D739D">
              <w:rPr>
                <w:rFonts w:ascii="Arial" w:hAnsi="Arial" w:cs="Arial"/>
              </w:rPr>
              <w:t xml:space="preserve"> for key SEND students</w:t>
            </w:r>
            <w:r w:rsidRPr="004D739D">
              <w:rPr>
                <w:rFonts w:ascii="Arial" w:hAnsi="Arial" w:cs="Arial"/>
              </w:rPr>
              <w:t xml:space="preserve"> – may involve preparatory se</w:t>
            </w:r>
            <w:r w:rsidR="008418A8" w:rsidRPr="004D739D">
              <w:rPr>
                <w:rFonts w:ascii="Arial" w:hAnsi="Arial" w:cs="Arial"/>
              </w:rPr>
              <w:t xml:space="preserve">ssions before placement begins or </w:t>
            </w:r>
            <w:r w:rsidRPr="004D739D">
              <w:rPr>
                <w:rFonts w:ascii="Arial" w:hAnsi="Arial" w:cs="Arial"/>
              </w:rPr>
              <w:t xml:space="preserve">additional </w:t>
            </w:r>
            <w:r w:rsidR="00BA4D77" w:rsidRPr="004D739D">
              <w:rPr>
                <w:rFonts w:ascii="Arial" w:hAnsi="Arial" w:cs="Arial"/>
              </w:rPr>
              <w:t xml:space="preserve">staff </w:t>
            </w:r>
            <w:r w:rsidRPr="004D739D">
              <w:rPr>
                <w:rFonts w:ascii="Arial" w:hAnsi="Arial" w:cs="Arial"/>
              </w:rPr>
              <w:t>visits whilst placement is taking place.</w:t>
            </w:r>
          </w:p>
        </w:tc>
      </w:tr>
      <w:tr w:rsidR="00C14E17" w:rsidRPr="004D739D" w:rsidTr="004D739D">
        <w:trPr>
          <w:jc w:val="center"/>
        </w:trPr>
        <w:tc>
          <w:tcPr>
            <w:tcW w:w="3077" w:type="dxa"/>
            <w:vAlign w:val="center"/>
          </w:tcPr>
          <w:p w:rsidR="00C14E17" w:rsidRPr="004D739D" w:rsidRDefault="00C14E17" w:rsidP="00431B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Transition from KS4 to KS5</w:t>
            </w:r>
          </w:p>
        </w:tc>
        <w:tc>
          <w:tcPr>
            <w:tcW w:w="12311" w:type="dxa"/>
            <w:gridSpan w:val="4"/>
            <w:vAlign w:val="center"/>
          </w:tcPr>
          <w:p w:rsidR="00C14E17" w:rsidRPr="004D739D" w:rsidRDefault="00BA4D77" w:rsidP="004D739D">
            <w:pPr>
              <w:rPr>
                <w:rFonts w:ascii="Arial" w:hAnsi="Arial" w:cs="Arial"/>
              </w:rPr>
            </w:pPr>
            <w:proofErr w:type="spellStart"/>
            <w:r w:rsidRPr="004D739D">
              <w:rPr>
                <w:rFonts w:ascii="Arial" w:hAnsi="Arial" w:cs="Arial"/>
              </w:rPr>
              <w:t>Adviza</w:t>
            </w:r>
            <w:proofErr w:type="spellEnd"/>
            <w:r w:rsidRPr="004D739D">
              <w:rPr>
                <w:rFonts w:ascii="Arial" w:hAnsi="Arial" w:cs="Arial"/>
              </w:rPr>
              <w:t xml:space="preserve"> careers appointments for all students, additional appointments offered to SEND students. </w:t>
            </w:r>
          </w:p>
          <w:p w:rsidR="00BA4D77" w:rsidRPr="004D739D" w:rsidRDefault="00BA4D77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Meetings with SENCO, tutor, SLT or trusted adult to make appropriate choices and discuss transition plans for post-16 pathway.</w:t>
            </w:r>
          </w:p>
          <w:p w:rsidR="00BA4D77" w:rsidRPr="004D739D" w:rsidRDefault="00BA4D77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Students with EHCPs will have a transition focused annual review.</w:t>
            </w:r>
          </w:p>
          <w:p w:rsidR="00BA4D77" w:rsidRPr="004D739D" w:rsidRDefault="00BA4D77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>Collaboration between Learning Support Department to tailor transition and ensure all necessary information is communicated to post-16 placement.</w:t>
            </w:r>
          </w:p>
        </w:tc>
      </w:tr>
      <w:tr w:rsidR="00C14E17" w:rsidRPr="004D739D" w:rsidTr="004D739D">
        <w:trPr>
          <w:jc w:val="center"/>
        </w:trPr>
        <w:tc>
          <w:tcPr>
            <w:tcW w:w="3077" w:type="dxa"/>
            <w:vAlign w:val="center"/>
          </w:tcPr>
          <w:p w:rsidR="00C14E17" w:rsidRPr="004D739D" w:rsidRDefault="00C14E17" w:rsidP="00431B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Transition from KS5 to next stage of education or training</w:t>
            </w:r>
          </w:p>
        </w:tc>
        <w:tc>
          <w:tcPr>
            <w:tcW w:w="12311" w:type="dxa"/>
            <w:gridSpan w:val="4"/>
            <w:vAlign w:val="center"/>
          </w:tcPr>
          <w:p w:rsidR="00C14E17" w:rsidRPr="004D739D" w:rsidRDefault="00763C42" w:rsidP="004D739D">
            <w:pPr>
              <w:rPr>
                <w:rFonts w:ascii="Arial" w:hAnsi="Arial" w:cs="Arial"/>
              </w:rPr>
            </w:pPr>
            <w:r w:rsidRPr="004D739D">
              <w:rPr>
                <w:rFonts w:ascii="Arial" w:hAnsi="Arial" w:cs="Arial"/>
              </w:rPr>
              <w:t xml:space="preserve">Exam access arrangements documentation made available for UCAS applications and post-18 placements as required. </w:t>
            </w:r>
          </w:p>
          <w:p w:rsidR="00763C42" w:rsidRPr="004D739D" w:rsidRDefault="00763C42" w:rsidP="004D739D">
            <w:pPr>
              <w:rPr>
                <w:rFonts w:ascii="Arial" w:hAnsi="Arial" w:cs="Arial"/>
                <w:sz w:val="24"/>
              </w:rPr>
            </w:pPr>
            <w:r w:rsidRPr="004D739D">
              <w:rPr>
                <w:rFonts w:ascii="Arial" w:hAnsi="Arial" w:cs="Arial"/>
              </w:rPr>
              <w:t>Additional support with applications for college, university, apprenticeship or training placements.</w:t>
            </w:r>
          </w:p>
        </w:tc>
      </w:tr>
      <w:tr w:rsidR="00431B47" w:rsidRPr="004D739D" w:rsidTr="004D739D">
        <w:trPr>
          <w:jc w:val="center"/>
        </w:trPr>
        <w:tc>
          <w:tcPr>
            <w:tcW w:w="15388" w:type="dxa"/>
            <w:gridSpan w:val="5"/>
            <w:vAlign w:val="center"/>
          </w:tcPr>
          <w:p w:rsidR="00431B47" w:rsidRPr="004D739D" w:rsidRDefault="00431B47" w:rsidP="004D73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31B47" w:rsidRPr="004D739D" w:rsidTr="004D739D">
        <w:trPr>
          <w:jc w:val="center"/>
        </w:trPr>
        <w:tc>
          <w:tcPr>
            <w:tcW w:w="3077" w:type="dxa"/>
            <w:vAlign w:val="center"/>
          </w:tcPr>
          <w:p w:rsidR="00431B47" w:rsidRPr="004D739D" w:rsidRDefault="00431B47" w:rsidP="00431B47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D739D">
              <w:rPr>
                <w:rFonts w:ascii="Arial" w:hAnsi="Arial" w:cs="Arial"/>
                <w:i/>
                <w:sz w:val="24"/>
              </w:rPr>
              <w:t>Supporting our learners:</w:t>
            </w:r>
          </w:p>
        </w:tc>
        <w:tc>
          <w:tcPr>
            <w:tcW w:w="3077" w:type="dxa"/>
            <w:vAlign w:val="center"/>
          </w:tcPr>
          <w:p w:rsidR="00431B47" w:rsidRPr="004D739D" w:rsidRDefault="00431B47" w:rsidP="004D739D">
            <w:pPr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Cognition and Learning</w:t>
            </w:r>
          </w:p>
        </w:tc>
        <w:tc>
          <w:tcPr>
            <w:tcW w:w="3078" w:type="dxa"/>
            <w:vAlign w:val="center"/>
          </w:tcPr>
          <w:p w:rsidR="00431B47" w:rsidRPr="004D739D" w:rsidRDefault="00431B47" w:rsidP="004D739D">
            <w:pPr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Communication and Interaction</w:t>
            </w:r>
          </w:p>
        </w:tc>
        <w:tc>
          <w:tcPr>
            <w:tcW w:w="3078" w:type="dxa"/>
            <w:vAlign w:val="center"/>
          </w:tcPr>
          <w:p w:rsidR="00431B47" w:rsidRPr="004D739D" w:rsidRDefault="00431B47" w:rsidP="004D739D">
            <w:pPr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Social, Emotional and Mental Health</w:t>
            </w:r>
          </w:p>
        </w:tc>
        <w:tc>
          <w:tcPr>
            <w:tcW w:w="3078" w:type="dxa"/>
            <w:vAlign w:val="center"/>
          </w:tcPr>
          <w:p w:rsidR="00431B47" w:rsidRPr="004D739D" w:rsidRDefault="00431B47" w:rsidP="004D739D">
            <w:pPr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Sensory and/or Physical, Medical Conditions</w:t>
            </w:r>
          </w:p>
        </w:tc>
      </w:tr>
      <w:tr w:rsidR="00763DC4" w:rsidRPr="004D739D" w:rsidTr="004D739D">
        <w:trPr>
          <w:jc w:val="center"/>
        </w:trPr>
        <w:tc>
          <w:tcPr>
            <w:tcW w:w="3077" w:type="dxa"/>
            <w:vAlign w:val="center"/>
          </w:tcPr>
          <w:p w:rsidR="00763DC4" w:rsidRPr="004D739D" w:rsidRDefault="00763DC4" w:rsidP="00431B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KS3</w:t>
            </w:r>
          </w:p>
        </w:tc>
        <w:tc>
          <w:tcPr>
            <w:tcW w:w="3077" w:type="dxa"/>
            <w:vAlign w:val="center"/>
          </w:tcPr>
          <w:p w:rsidR="005E2B2C" w:rsidRPr="004D739D" w:rsidRDefault="00BA7731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Initial assessments using relevant battery</w:t>
            </w:r>
            <w:r w:rsidR="0039221C" w:rsidRPr="004D739D">
              <w:rPr>
                <w:rFonts w:ascii="Arial" w:hAnsi="Arial" w:cs="Arial"/>
                <w:sz w:val="20"/>
                <w:szCs w:val="20"/>
              </w:rPr>
              <w:t xml:space="preserve"> of tests</w:t>
            </w:r>
            <w:r w:rsidRPr="004D73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3DC4" w:rsidRPr="004D739D" w:rsidRDefault="005E2B2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Pupil profiles</w:t>
            </w:r>
            <w:r w:rsidR="0039221C" w:rsidRPr="004D739D">
              <w:rPr>
                <w:rFonts w:ascii="Arial" w:hAnsi="Arial" w:cs="Arial"/>
                <w:sz w:val="20"/>
                <w:szCs w:val="20"/>
              </w:rPr>
              <w:t xml:space="preserve"> and review cycle</w:t>
            </w:r>
            <w:r w:rsidRPr="004D73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2B2C" w:rsidRPr="004D739D" w:rsidRDefault="005E2B2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lastRenderedPageBreak/>
              <w:t>In-class support (Teaching Assistant).</w:t>
            </w:r>
          </w:p>
          <w:p w:rsidR="005E2B2C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Intervention groups lead by specialist teacher.</w:t>
            </w:r>
          </w:p>
          <w:p w:rsidR="0039221C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Supported learning option in Year 8 – additional literacy and numeracy.</w:t>
            </w:r>
          </w:p>
          <w:p w:rsidR="0039221C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Annual reviews.</w:t>
            </w:r>
          </w:p>
          <w:p w:rsidR="0039221C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1:1 reading intervention.</w:t>
            </w:r>
          </w:p>
          <w:p w:rsidR="0039221C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Study club – every break and lunch time, afterschool twice a week.</w:t>
            </w:r>
          </w:p>
          <w:p w:rsidR="0039221C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9D">
              <w:rPr>
                <w:rFonts w:ascii="Arial" w:hAnsi="Arial" w:cs="Arial"/>
                <w:sz w:val="20"/>
                <w:szCs w:val="20"/>
              </w:rPr>
              <w:t>Lexia</w:t>
            </w:r>
            <w:proofErr w:type="spellEnd"/>
            <w:r w:rsidRPr="004D739D">
              <w:rPr>
                <w:rFonts w:ascii="Arial" w:hAnsi="Arial" w:cs="Arial"/>
                <w:sz w:val="20"/>
                <w:szCs w:val="20"/>
              </w:rPr>
              <w:t xml:space="preserve"> intervention.</w:t>
            </w:r>
          </w:p>
          <w:p w:rsidR="002B7AC0" w:rsidRPr="004D739D" w:rsidRDefault="002B7AC0" w:rsidP="004D7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39D">
              <w:rPr>
                <w:rFonts w:ascii="Arial" w:hAnsi="Arial" w:cs="Arial"/>
                <w:sz w:val="20"/>
                <w:szCs w:val="20"/>
              </w:rPr>
              <w:t>SpLD</w:t>
            </w:r>
            <w:proofErr w:type="spellEnd"/>
            <w:r w:rsidRPr="004D739D">
              <w:rPr>
                <w:rFonts w:ascii="Arial" w:hAnsi="Arial" w:cs="Arial"/>
                <w:sz w:val="20"/>
                <w:szCs w:val="20"/>
              </w:rPr>
              <w:t xml:space="preserve"> mentoring by specialist teacher.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763DC4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lastRenderedPageBreak/>
              <w:t xml:space="preserve">Fortnightly mentoring for ASC pupils – initial social skills assessment completed as part </w:t>
            </w:r>
            <w:r w:rsidRPr="004D739D">
              <w:rPr>
                <w:rFonts w:ascii="Arial" w:hAnsi="Arial" w:cs="Arial"/>
                <w:sz w:val="20"/>
                <w:szCs w:val="20"/>
              </w:rPr>
              <w:lastRenderedPageBreak/>
              <w:t>of this.</w:t>
            </w:r>
          </w:p>
          <w:p w:rsidR="0039221C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Pupil profiles and review cycle.</w:t>
            </w:r>
          </w:p>
          <w:p w:rsidR="0039221C" w:rsidRPr="004D739D" w:rsidRDefault="0039221C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In-class support (Teaching Assistant).</w:t>
            </w:r>
          </w:p>
          <w:p w:rsidR="0039221C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Social skills groups.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Visual timetable if appropriate.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Advice, resources and training from SENSS C and I team.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Exit card.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Calm space.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Autism awareness bus card.</w:t>
            </w:r>
          </w:p>
          <w:p w:rsidR="00EE6C65" w:rsidRPr="004D739D" w:rsidRDefault="00EE6C65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Autism awareness week.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Feelings management card.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Study club.</w:t>
            </w:r>
          </w:p>
        </w:tc>
        <w:tc>
          <w:tcPr>
            <w:tcW w:w="3078" w:type="dxa"/>
            <w:vAlign w:val="center"/>
          </w:tcPr>
          <w:p w:rsidR="00763DC4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lastRenderedPageBreak/>
              <w:t>Stepping Stones Pastoral support department.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Anxiety group sessions.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lastRenderedPageBreak/>
              <w:t>Pupil profiles and review cycle.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In-class support (inclusion lead and HLTA).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Exit card.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Counselling.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Student mentoring.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Break and lunch time support and safe space.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 xml:space="preserve">School health nurse onsite. 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Pastoral department placements.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Work experience and college day release.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Study club.</w:t>
            </w:r>
          </w:p>
        </w:tc>
        <w:tc>
          <w:tcPr>
            <w:tcW w:w="3078" w:type="dxa"/>
            <w:vAlign w:val="center"/>
          </w:tcPr>
          <w:p w:rsidR="00763DC4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lastRenderedPageBreak/>
              <w:t>Larkmead offers individualised provision based on the needs of the students.</w:t>
            </w:r>
          </w:p>
          <w:p w:rsidR="006D2FED" w:rsidRPr="004D739D" w:rsidRDefault="006D2FE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lastRenderedPageBreak/>
              <w:t>Full-time support through to monitoring.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Communication with medical professio</w:t>
            </w:r>
            <w:r w:rsidR="00E1743D" w:rsidRPr="004D739D">
              <w:rPr>
                <w:rFonts w:ascii="Arial" w:hAnsi="Arial" w:cs="Arial"/>
                <w:sz w:val="20"/>
                <w:szCs w:val="20"/>
              </w:rPr>
              <w:t>nals, parents and school nurse as</w:t>
            </w:r>
            <w:r w:rsidRPr="004D739D">
              <w:rPr>
                <w:rFonts w:ascii="Arial" w:hAnsi="Arial" w:cs="Arial"/>
                <w:sz w:val="20"/>
                <w:szCs w:val="20"/>
              </w:rPr>
              <w:t xml:space="preserve"> appropriate.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Support may be necessary short, medium or long term to allow for an inclusive mainstream placement.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Pupil profiles and review cycle if SEND.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 xml:space="preserve">Flexible teaching arrangements are offered. 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 xml:space="preserve">Advice, resources and training from physiotherapists and occupational therapists. 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Specialist trained HLTA in physical difficulties.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Study club.</w:t>
            </w:r>
          </w:p>
        </w:tc>
      </w:tr>
      <w:tr w:rsidR="00763DC4" w:rsidRPr="004D739D" w:rsidTr="004D739D">
        <w:trPr>
          <w:jc w:val="center"/>
        </w:trPr>
        <w:tc>
          <w:tcPr>
            <w:tcW w:w="3077" w:type="dxa"/>
            <w:vAlign w:val="center"/>
          </w:tcPr>
          <w:p w:rsidR="00763DC4" w:rsidRPr="004D739D" w:rsidRDefault="00763DC4" w:rsidP="00431B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lastRenderedPageBreak/>
              <w:t>KS4</w:t>
            </w:r>
          </w:p>
        </w:tc>
        <w:tc>
          <w:tcPr>
            <w:tcW w:w="3077" w:type="dxa"/>
            <w:vAlign w:val="center"/>
          </w:tcPr>
          <w:p w:rsidR="00763DC4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As above.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Exam access arrangements.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Guided option choices – supported learning.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Power-Hour</w:t>
            </w:r>
          </w:p>
        </w:tc>
        <w:tc>
          <w:tcPr>
            <w:tcW w:w="3078" w:type="dxa"/>
            <w:vAlign w:val="center"/>
          </w:tcPr>
          <w:p w:rsidR="00763DC4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As above.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Exam access arrangements.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:rsidR="00763DC4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As above.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Exam access arrangements.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Guided option choices.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Reduced curriculum.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Vocational courses.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Work experience / college involvement.</w:t>
            </w:r>
          </w:p>
        </w:tc>
        <w:tc>
          <w:tcPr>
            <w:tcW w:w="3078" w:type="dxa"/>
            <w:vAlign w:val="center"/>
          </w:tcPr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As above.</w:t>
            </w:r>
          </w:p>
          <w:p w:rsidR="00D31B7D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Exam access arrangements.</w:t>
            </w:r>
          </w:p>
          <w:p w:rsidR="00763DC4" w:rsidRPr="004D739D" w:rsidRDefault="00763DC4" w:rsidP="004D7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DC4" w:rsidRPr="004D739D" w:rsidTr="004D739D">
        <w:trPr>
          <w:jc w:val="center"/>
        </w:trPr>
        <w:tc>
          <w:tcPr>
            <w:tcW w:w="3077" w:type="dxa"/>
            <w:vAlign w:val="center"/>
          </w:tcPr>
          <w:p w:rsidR="00763DC4" w:rsidRPr="004D739D" w:rsidRDefault="00763DC4" w:rsidP="00431B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739D">
              <w:rPr>
                <w:rFonts w:ascii="Arial" w:hAnsi="Arial" w:cs="Arial"/>
                <w:b/>
                <w:sz w:val="24"/>
              </w:rPr>
              <w:t>KS5</w:t>
            </w:r>
          </w:p>
        </w:tc>
        <w:tc>
          <w:tcPr>
            <w:tcW w:w="3077" w:type="dxa"/>
            <w:vAlign w:val="center"/>
          </w:tcPr>
          <w:p w:rsidR="00763DC4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As above.</w:t>
            </w:r>
          </w:p>
        </w:tc>
        <w:tc>
          <w:tcPr>
            <w:tcW w:w="3078" w:type="dxa"/>
            <w:vAlign w:val="center"/>
          </w:tcPr>
          <w:p w:rsidR="00763DC4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As above.</w:t>
            </w:r>
          </w:p>
        </w:tc>
        <w:tc>
          <w:tcPr>
            <w:tcW w:w="3078" w:type="dxa"/>
            <w:vAlign w:val="center"/>
          </w:tcPr>
          <w:p w:rsidR="00763DC4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As above.</w:t>
            </w:r>
          </w:p>
        </w:tc>
        <w:tc>
          <w:tcPr>
            <w:tcW w:w="3078" w:type="dxa"/>
            <w:vAlign w:val="center"/>
          </w:tcPr>
          <w:p w:rsidR="00763DC4" w:rsidRPr="004D739D" w:rsidRDefault="00D31B7D" w:rsidP="004D739D">
            <w:pPr>
              <w:rPr>
                <w:rFonts w:ascii="Arial" w:hAnsi="Arial" w:cs="Arial"/>
                <w:sz w:val="20"/>
                <w:szCs w:val="20"/>
              </w:rPr>
            </w:pPr>
            <w:r w:rsidRPr="004D739D">
              <w:rPr>
                <w:rFonts w:ascii="Arial" w:hAnsi="Arial" w:cs="Arial"/>
                <w:sz w:val="20"/>
                <w:szCs w:val="20"/>
              </w:rPr>
              <w:t>As above.</w:t>
            </w:r>
          </w:p>
        </w:tc>
      </w:tr>
    </w:tbl>
    <w:p w:rsidR="00763DC4" w:rsidRPr="004D739D" w:rsidRDefault="00763DC4" w:rsidP="00763DC4">
      <w:pPr>
        <w:jc w:val="center"/>
        <w:rPr>
          <w:rFonts w:ascii="Arial" w:hAnsi="Arial" w:cs="Arial"/>
          <w:sz w:val="24"/>
        </w:rPr>
      </w:pPr>
    </w:p>
    <w:sectPr w:rsidR="00763DC4" w:rsidRPr="004D739D" w:rsidSect="00763DC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C4" w:rsidRDefault="00763DC4" w:rsidP="00763DC4">
      <w:pPr>
        <w:spacing w:after="0" w:line="240" w:lineRule="auto"/>
      </w:pPr>
      <w:r>
        <w:separator/>
      </w:r>
    </w:p>
  </w:endnote>
  <w:endnote w:type="continuationSeparator" w:id="0">
    <w:p w:rsidR="00763DC4" w:rsidRDefault="00763DC4" w:rsidP="007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C4" w:rsidRDefault="00763DC4" w:rsidP="00763DC4">
      <w:pPr>
        <w:spacing w:after="0" w:line="240" w:lineRule="auto"/>
      </w:pPr>
      <w:r>
        <w:separator/>
      </w:r>
    </w:p>
  </w:footnote>
  <w:footnote w:type="continuationSeparator" w:id="0">
    <w:p w:rsidR="00763DC4" w:rsidRDefault="00763DC4" w:rsidP="0076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C4" w:rsidRDefault="00763DC4" w:rsidP="00763DC4">
    <w:pPr>
      <w:pStyle w:val="Header"/>
      <w:jc w:val="center"/>
    </w:pPr>
    <w:r>
      <w:rPr>
        <w:noProof/>
        <w:color w:val="000000"/>
        <w:lang w:eastAsia="en-GB"/>
      </w:rPr>
      <w:drawing>
        <wp:inline distT="0" distB="0" distL="0" distR="0" wp14:anchorId="70590753" wp14:editId="227AEACC">
          <wp:extent cx="6510655" cy="723900"/>
          <wp:effectExtent l="0" t="0" r="4445" b="0"/>
          <wp:docPr id="1" name="Picture 1" descr="letterhead_logo_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logo_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42"/>
                  <a:stretch/>
                </pic:blipFill>
                <pic:spPr bwMode="auto">
                  <a:xfrm>
                    <a:off x="0" y="0"/>
                    <a:ext cx="65106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4"/>
    <w:rsid w:val="002B7AC0"/>
    <w:rsid w:val="00344D20"/>
    <w:rsid w:val="0039221C"/>
    <w:rsid w:val="00431B47"/>
    <w:rsid w:val="004D739D"/>
    <w:rsid w:val="00537E53"/>
    <w:rsid w:val="005B5354"/>
    <w:rsid w:val="005E2B2C"/>
    <w:rsid w:val="006C2A8B"/>
    <w:rsid w:val="006D2FED"/>
    <w:rsid w:val="006D5438"/>
    <w:rsid w:val="00763C42"/>
    <w:rsid w:val="00763DC4"/>
    <w:rsid w:val="007763AA"/>
    <w:rsid w:val="00794875"/>
    <w:rsid w:val="007B33C6"/>
    <w:rsid w:val="008418A8"/>
    <w:rsid w:val="00873A15"/>
    <w:rsid w:val="00A307D6"/>
    <w:rsid w:val="00A83D16"/>
    <w:rsid w:val="00B32C63"/>
    <w:rsid w:val="00BA4D77"/>
    <w:rsid w:val="00BA7731"/>
    <w:rsid w:val="00C14E17"/>
    <w:rsid w:val="00D31B7D"/>
    <w:rsid w:val="00DB5D8D"/>
    <w:rsid w:val="00E1743D"/>
    <w:rsid w:val="00E7189A"/>
    <w:rsid w:val="00EC758A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A77D803-9A73-4FDA-9C36-30EA76C6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C4"/>
  </w:style>
  <w:style w:type="paragraph" w:styleId="Footer">
    <w:name w:val="footer"/>
    <w:basedOn w:val="Normal"/>
    <w:link w:val="FooterChar"/>
    <w:uiPriority w:val="99"/>
    <w:unhideWhenUsed/>
    <w:rsid w:val="0076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C4"/>
  </w:style>
  <w:style w:type="table" w:styleId="TableGrid">
    <w:name w:val="Table Grid"/>
    <w:basedOn w:val="TableNormal"/>
    <w:uiPriority w:val="39"/>
    <w:rsid w:val="0076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B9C8A398</Template>
  <TotalTime>56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Cross</dc:creator>
  <cp:lastModifiedBy>Philippa Cross</cp:lastModifiedBy>
  <cp:revision>9</cp:revision>
  <dcterms:created xsi:type="dcterms:W3CDTF">2020-04-08T13:42:00Z</dcterms:created>
  <dcterms:modified xsi:type="dcterms:W3CDTF">2020-09-17T07:52:00Z</dcterms:modified>
</cp:coreProperties>
</file>